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A0" w:rsidRDefault="008E11CC" w:rsidP="00B63F7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EL NEGACIONISMO</w:t>
      </w:r>
      <w:r w:rsidR="00B63F70">
        <w:rPr>
          <w:b/>
          <w:sz w:val="24"/>
          <w:szCs w:val="24"/>
        </w:rPr>
        <w:t xml:space="preserve"> NO ESTÁ AMPARADO POR LA LIBERTAD DE EXPRESIÓN</w:t>
      </w:r>
      <w:r>
        <w:rPr>
          <w:b/>
          <w:sz w:val="24"/>
          <w:szCs w:val="24"/>
        </w:rPr>
        <w:t>, SEGÚN EL TEDH</w:t>
      </w:r>
    </w:p>
    <w:p w:rsidR="00B63F70" w:rsidRDefault="00B63F70" w:rsidP="00B63F70">
      <w:pPr>
        <w:jc w:val="center"/>
        <w:rPr>
          <w:b/>
          <w:sz w:val="24"/>
          <w:szCs w:val="24"/>
        </w:rPr>
      </w:pPr>
    </w:p>
    <w:p w:rsidR="00B63F70" w:rsidRDefault="00B63F70" w:rsidP="00B63F70">
      <w:pPr>
        <w:jc w:val="both"/>
        <w:rPr>
          <w:sz w:val="24"/>
          <w:szCs w:val="24"/>
        </w:rPr>
      </w:pPr>
      <w:r>
        <w:rPr>
          <w:sz w:val="24"/>
          <w:szCs w:val="24"/>
        </w:rPr>
        <w:t>El pasado día 3 de octubre</w:t>
      </w:r>
      <w:r w:rsidR="006742C9">
        <w:rPr>
          <w:sz w:val="24"/>
          <w:szCs w:val="24"/>
        </w:rPr>
        <w:t xml:space="preserve"> de 2019</w:t>
      </w:r>
      <w:r>
        <w:rPr>
          <w:sz w:val="24"/>
          <w:szCs w:val="24"/>
        </w:rPr>
        <w:t>, la Sección Quinta del TEDH tuvo ocasión de pronunciarse, de nuevo, sobre un tema que ha tratado en multitud de ocasiones</w:t>
      </w:r>
      <w:r w:rsidR="009C54A0">
        <w:rPr>
          <w:sz w:val="24"/>
          <w:szCs w:val="24"/>
        </w:rPr>
        <w:t>,</w:t>
      </w:r>
      <w:r>
        <w:rPr>
          <w:sz w:val="24"/>
          <w:szCs w:val="24"/>
        </w:rPr>
        <w:t xml:space="preserve"> como es el </w:t>
      </w:r>
      <w:proofErr w:type="spellStart"/>
      <w:r>
        <w:rPr>
          <w:sz w:val="24"/>
          <w:szCs w:val="24"/>
        </w:rPr>
        <w:t>negacionismo</w:t>
      </w:r>
      <w:proofErr w:type="spellEnd"/>
      <w:r>
        <w:rPr>
          <w:sz w:val="24"/>
          <w:szCs w:val="24"/>
        </w:rPr>
        <w:t xml:space="preserve">. Así pues, una vez más, la Corte Europea, en la sentencia que resuelve el caso </w:t>
      </w:r>
      <w:proofErr w:type="spellStart"/>
      <w:r>
        <w:rPr>
          <w:sz w:val="24"/>
          <w:szCs w:val="24"/>
        </w:rPr>
        <w:t>Pastörs</w:t>
      </w:r>
      <w:proofErr w:type="spellEnd"/>
      <w:r>
        <w:rPr>
          <w:sz w:val="24"/>
          <w:szCs w:val="24"/>
        </w:rPr>
        <w:t xml:space="preserve"> contra Alemania vuelve a manifestar que este tipo de discursos no se encuentran amparados bajo la libertad de expresión.</w:t>
      </w:r>
    </w:p>
    <w:p w:rsidR="00625EC4" w:rsidRDefault="00B63F70" w:rsidP="00B63F70">
      <w:pPr>
        <w:jc w:val="both"/>
        <w:rPr>
          <w:sz w:val="24"/>
          <w:szCs w:val="24"/>
        </w:rPr>
      </w:pPr>
      <w:r>
        <w:rPr>
          <w:sz w:val="24"/>
          <w:szCs w:val="24"/>
        </w:rPr>
        <w:t>El supuesto de hecho, resumidamente, consiste en l</w:t>
      </w:r>
      <w:r w:rsidR="00625EC4">
        <w:rPr>
          <w:sz w:val="24"/>
          <w:szCs w:val="24"/>
        </w:rPr>
        <w:t xml:space="preserve">o siguiente: </w:t>
      </w:r>
      <w:r w:rsidR="00C011B1">
        <w:rPr>
          <w:sz w:val="24"/>
          <w:szCs w:val="24"/>
        </w:rPr>
        <w:t>En 2010, en concreto e</w:t>
      </w:r>
      <w:r w:rsidR="00625EC4">
        <w:rPr>
          <w:sz w:val="24"/>
          <w:szCs w:val="24"/>
        </w:rPr>
        <w:t>l día 27 de enero, fecha en que se conmemora a las víctimas del Holocausto, el demandante, diputado</w:t>
      </w:r>
      <w:r w:rsidR="00C011B1">
        <w:rPr>
          <w:sz w:val="24"/>
          <w:szCs w:val="24"/>
        </w:rPr>
        <w:t xml:space="preserve"> de un parlamento regional</w:t>
      </w:r>
      <w:r w:rsidR="00625EC4">
        <w:rPr>
          <w:sz w:val="24"/>
          <w:szCs w:val="24"/>
        </w:rPr>
        <w:t xml:space="preserve">, no acudió a ninguno de </w:t>
      </w:r>
      <w:r w:rsidR="00C011B1">
        <w:rPr>
          <w:sz w:val="24"/>
          <w:szCs w:val="24"/>
        </w:rPr>
        <w:t xml:space="preserve">los </w:t>
      </w:r>
      <w:r w:rsidR="00625EC4">
        <w:rPr>
          <w:sz w:val="24"/>
          <w:szCs w:val="24"/>
        </w:rPr>
        <w:t xml:space="preserve">actos recordatorios. Al día siguiente, y en sede parlamentaria, aprovechó para lanzar un discurso </w:t>
      </w:r>
      <w:r w:rsidR="00C011B1">
        <w:rPr>
          <w:sz w:val="24"/>
          <w:szCs w:val="24"/>
        </w:rPr>
        <w:t xml:space="preserve">en el que cuestionaba el propio Holocausto, indicando que el pueblo alemán había estado sometido a un aluvión de mentiras propagandísticas. Tras ello, más adelante, se le </w:t>
      </w:r>
      <w:r w:rsidR="00D31690">
        <w:rPr>
          <w:sz w:val="24"/>
          <w:szCs w:val="24"/>
        </w:rPr>
        <w:t>revocó</w:t>
      </w:r>
      <w:r w:rsidR="00C011B1">
        <w:rPr>
          <w:sz w:val="24"/>
          <w:szCs w:val="24"/>
        </w:rPr>
        <w:t xml:space="preserve"> el privilegio de la inviolabilidad parlamentaria por parte del propio parlamento regional.</w:t>
      </w:r>
    </w:p>
    <w:p w:rsidR="00D31690" w:rsidRDefault="00C011B1" w:rsidP="00B63F70">
      <w:pPr>
        <w:jc w:val="both"/>
        <w:rPr>
          <w:sz w:val="24"/>
          <w:szCs w:val="24"/>
        </w:rPr>
      </w:pPr>
      <w:r>
        <w:rPr>
          <w:sz w:val="24"/>
          <w:szCs w:val="24"/>
        </w:rPr>
        <w:t>A la vista de las declaraciones efectuadas, se cursó un procedimiento penal, por el que finalmente se le condenó a ocho meses de prisión</w:t>
      </w:r>
      <w:r w:rsidR="009C54A0">
        <w:rPr>
          <w:sz w:val="24"/>
          <w:szCs w:val="24"/>
        </w:rPr>
        <w:t xml:space="preserve"> </w:t>
      </w:r>
      <w:r>
        <w:rPr>
          <w:sz w:val="24"/>
          <w:szCs w:val="24"/>
        </w:rPr>
        <w:t>por violación de la memoria de los muertos y por difamación</w:t>
      </w:r>
      <w:r w:rsidR="009C54A0">
        <w:rPr>
          <w:sz w:val="24"/>
          <w:szCs w:val="24"/>
        </w:rPr>
        <w:t>, pena que fue suspendida</w:t>
      </w:r>
      <w:r>
        <w:rPr>
          <w:sz w:val="24"/>
          <w:szCs w:val="24"/>
        </w:rPr>
        <w:t>.</w:t>
      </w:r>
      <w:r w:rsidR="00D31690">
        <w:rPr>
          <w:sz w:val="24"/>
          <w:szCs w:val="24"/>
        </w:rPr>
        <w:t xml:space="preserve"> A pesar de agotar la vía jurisdiccional interna con múltiples recursos, todos ellos fueron desestimados. También la Corte Europea consideró que su discurso no se encontraba amparado </w:t>
      </w:r>
      <w:r w:rsidR="009C54A0">
        <w:rPr>
          <w:sz w:val="24"/>
          <w:szCs w:val="24"/>
        </w:rPr>
        <w:t xml:space="preserve">por </w:t>
      </w:r>
      <w:r w:rsidR="00D31690">
        <w:rPr>
          <w:sz w:val="24"/>
          <w:szCs w:val="24"/>
        </w:rPr>
        <w:t>la libertad de expresión</w:t>
      </w:r>
      <w:r w:rsidR="009C54A0">
        <w:rPr>
          <w:sz w:val="24"/>
          <w:szCs w:val="24"/>
        </w:rPr>
        <w:t xml:space="preserve"> recogida en el artículo 10 CEDH</w:t>
      </w:r>
      <w:r w:rsidR="00D31690">
        <w:rPr>
          <w:sz w:val="24"/>
          <w:szCs w:val="24"/>
        </w:rPr>
        <w:t xml:space="preserve">. </w:t>
      </w:r>
    </w:p>
    <w:p w:rsidR="00C011B1" w:rsidRDefault="00D31690" w:rsidP="00B63F70">
      <w:pPr>
        <w:jc w:val="both"/>
        <w:rPr>
          <w:sz w:val="24"/>
          <w:szCs w:val="24"/>
        </w:rPr>
      </w:pPr>
      <w:r>
        <w:rPr>
          <w:sz w:val="24"/>
          <w:szCs w:val="24"/>
        </w:rPr>
        <w:t>El TEDH, al centrarse en el estudio de la causa,</w:t>
      </w:r>
      <w:r w:rsidR="00F67827">
        <w:rPr>
          <w:sz w:val="24"/>
          <w:szCs w:val="24"/>
        </w:rPr>
        <w:t xml:space="preserve"> lo hace desde dos frentes: </w:t>
      </w:r>
      <w:r w:rsidR="0084600C">
        <w:rPr>
          <w:sz w:val="24"/>
          <w:szCs w:val="24"/>
        </w:rPr>
        <w:t>E</w:t>
      </w:r>
      <w:r w:rsidR="00F67827">
        <w:rPr>
          <w:sz w:val="24"/>
          <w:szCs w:val="24"/>
        </w:rPr>
        <w:t xml:space="preserve">n primer lugar, considera que el discurso </w:t>
      </w:r>
      <w:proofErr w:type="spellStart"/>
      <w:r w:rsidR="00F67827">
        <w:rPr>
          <w:sz w:val="24"/>
          <w:szCs w:val="24"/>
        </w:rPr>
        <w:t>negacionista</w:t>
      </w:r>
      <w:proofErr w:type="spellEnd"/>
      <w:r w:rsidR="00F67827">
        <w:rPr>
          <w:sz w:val="24"/>
          <w:szCs w:val="24"/>
        </w:rPr>
        <w:t xml:space="preserve"> </w:t>
      </w:r>
      <w:r w:rsidR="00604278">
        <w:rPr>
          <w:sz w:val="24"/>
          <w:szCs w:val="24"/>
        </w:rPr>
        <w:t>expresado</w:t>
      </w:r>
      <w:r w:rsidR="00F67827">
        <w:rPr>
          <w:sz w:val="24"/>
          <w:szCs w:val="24"/>
        </w:rPr>
        <w:t xml:space="preserve"> por el demandante </w:t>
      </w:r>
      <w:r w:rsidR="00F67827" w:rsidRPr="00F67827">
        <w:rPr>
          <w:color w:val="000000" w:themeColor="text1"/>
          <w:lang w:val="it-IT"/>
        </w:rPr>
        <w:t xml:space="preserve">muestra desdén hacia las víctimas del </w:t>
      </w:r>
      <w:r w:rsidR="00756C89">
        <w:rPr>
          <w:color w:val="000000" w:themeColor="text1"/>
          <w:lang w:val="it-IT"/>
        </w:rPr>
        <w:t>régimen nazi</w:t>
      </w:r>
      <w:r w:rsidR="00F67827" w:rsidRPr="00F67827">
        <w:rPr>
          <w:color w:val="000000" w:themeColor="text1"/>
          <w:lang w:val="it-IT"/>
        </w:rPr>
        <w:t xml:space="preserve"> y va en contra de hechos históricos </w:t>
      </w:r>
      <w:r w:rsidR="00F67827">
        <w:rPr>
          <w:color w:val="000000" w:themeColor="text1"/>
          <w:lang w:val="it-IT"/>
        </w:rPr>
        <w:t xml:space="preserve">claramente </w:t>
      </w:r>
      <w:r w:rsidR="00F67827" w:rsidRPr="00F67827">
        <w:rPr>
          <w:color w:val="000000" w:themeColor="text1"/>
          <w:lang w:val="it-IT"/>
        </w:rPr>
        <w:t>establecidos</w:t>
      </w:r>
      <w:r w:rsidR="00F67827">
        <w:rPr>
          <w:color w:val="000000" w:themeColor="text1"/>
          <w:lang w:val="it-IT"/>
        </w:rPr>
        <w:t>, incuestionables</w:t>
      </w:r>
      <w:r w:rsidR="00756C89">
        <w:rPr>
          <w:color w:val="000000" w:themeColor="text1"/>
          <w:lang w:val="it-IT"/>
        </w:rPr>
        <w:t>, como es la existencia misma y alcance del Holocauasto</w:t>
      </w:r>
      <w:r w:rsidR="00F67827">
        <w:rPr>
          <w:color w:val="000000" w:themeColor="text1"/>
          <w:lang w:val="it-IT"/>
        </w:rPr>
        <w:t xml:space="preserve">. Por tanto, entiende que </w:t>
      </w:r>
      <w:r w:rsidR="000A5778">
        <w:rPr>
          <w:color w:val="000000" w:themeColor="text1"/>
          <w:lang w:val="it-IT"/>
        </w:rPr>
        <w:t xml:space="preserve">el político </w:t>
      </w:r>
      <w:r w:rsidR="0084600C">
        <w:rPr>
          <w:color w:val="000000" w:themeColor="text1"/>
          <w:lang w:val="it-IT"/>
        </w:rPr>
        <w:t>i</w:t>
      </w:r>
      <w:r w:rsidR="00F67827" w:rsidRPr="00F67827">
        <w:rPr>
          <w:color w:val="000000" w:themeColor="text1"/>
          <w:lang w:val="it-IT"/>
        </w:rPr>
        <w:t xml:space="preserve">ntentó hacer uso de su derecho a </w:t>
      </w:r>
      <w:r w:rsidR="0084600C">
        <w:rPr>
          <w:color w:val="000000" w:themeColor="text1"/>
          <w:lang w:val="it-IT"/>
        </w:rPr>
        <w:t xml:space="preserve">la </w:t>
      </w:r>
      <w:r w:rsidR="00F67827" w:rsidRPr="00F67827">
        <w:rPr>
          <w:color w:val="000000" w:themeColor="text1"/>
          <w:lang w:val="it-IT"/>
        </w:rPr>
        <w:t xml:space="preserve">libertad de expresión con el objetivo de promover ideas contrarias al texto y al espíritu </w:t>
      </w:r>
      <w:r w:rsidR="00F67827">
        <w:rPr>
          <w:color w:val="000000" w:themeColor="text1"/>
          <w:lang w:val="it-IT"/>
        </w:rPr>
        <w:t>del CEDH, lo cual sería subsumibl</w:t>
      </w:r>
      <w:r w:rsidR="00756C89">
        <w:rPr>
          <w:color w:val="000000" w:themeColor="text1"/>
          <w:lang w:val="it-IT"/>
        </w:rPr>
        <w:t>e bajo la figura del abuso del d</w:t>
      </w:r>
      <w:r w:rsidR="00F67827">
        <w:rPr>
          <w:color w:val="000000" w:themeColor="text1"/>
          <w:lang w:val="it-IT"/>
        </w:rPr>
        <w:t xml:space="preserve">erecho del artículo 17. </w:t>
      </w:r>
      <w:r w:rsidR="0084600C">
        <w:rPr>
          <w:color w:val="000000" w:themeColor="text1"/>
          <w:lang w:val="it-IT"/>
        </w:rPr>
        <w:t xml:space="preserve">En segundo lugar, </w:t>
      </w:r>
      <w:r w:rsidR="000A5778">
        <w:rPr>
          <w:color w:val="000000" w:themeColor="text1"/>
          <w:lang w:val="it-IT"/>
        </w:rPr>
        <w:t xml:space="preserve">considera </w:t>
      </w:r>
      <w:r w:rsidR="00D33984">
        <w:rPr>
          <w:color w:val="000000" w:themeColor="text1"/>
          <w:lang w:val="it-IT"/>
        </w:rPr>
        <w:t xml:space="preserve">que la represión del negacionismo en aquellos países que han padecido las atrocidaddes del régimen nazi está perfectamente justificada, dado que dichos Estados tienen la responsabilidad moral de </w:t>
      </w:r>
      <w:r w:rsidR="00BE1A8A">
        <w:rPr>
          <w:color w:val="000000" w:themeColor="text1"/>
          <w:lang w:val="it-IT"/>
        </w:rPr>
        <w:t>distanciarse</w:t>
      </w:r>
      <w:r w:rsidR="00756C89">
        <w:rPr>
          <w:color w:val="000000" w:themeColor="text1"/>
          <w:lang w:val="it-IT"/>
        </w:rPr>
        <w:t>,</w:t>
      </w:r>
      <w:r w:rsidR="00BE1A8A">
        <w:rPr>
          <w:color w:val="000000" w:themeColor="text1"/>
          <w:lang w:val="it-IT"/>
        </w:rPr>
        <w:t xml:space="preserve"> ellos mismos</w:t>
      </w:r>
      <w:r w:rsidR="00756C89">
        <w:rPr>
          <w:color w:val="000000" w:themeColor="text1"/>
          <w:lang w:val="it-IT"/>
        </w:rPr>
        <w:t>,</w:t>
      </w:r>
      <w:r w:rsidR="00BE1A8A">
        <w:rPr>
          <w:color w:val="000000" w:themeColor="text1"/>
          <w:lang w:val="it-IT"/>
        </w:rPr>
        <w:t xml:space="preserve"> de </w:t>
      </w:r>
      <w:r w:rsidR="00221555">
        <w:rPr>
          <w:color w:val="000000" w:themeColor="text1"/>
          <w:lang w:val="it-IT"/>
        </w:rPr>
        <w:t xml:space="preserve">los crímenes </w:t>
      </w:r>
      <w:r w:rsidR="00BE1A8A">
        <w:rPr>
          <w:color w:val="000000" w:themeColor="text1"/>
          <w:lang w:val="it-IT"/>
        </w:rPr>
        <w:t xml:space="preserve">entonces </w:t>
      </w:r>
      <w:r w:rsidR="00221555">
        <w:rPr>
          <w:color w:val="000000" w:themeColor="text1"/>
          <w:lang w:val="it-IT"/>
        </w:rPr>
        <w:t>cometido</w:t>
      </w:r>
      <w:r w:rsidR="007F32C1">
        <w:rPr>
          <w:color w:val="000000" w:themeColor="text1"/>
          <w:lang w:val="it-IT"/>
        </w:rPr>
        <w:t xml:space="preserve">s, </w:t>
      </w:r>
      <w:r w:rsidR="003E32C1">
        <w:rPr>
          <w:color w:val="000000" w:themeColor="text1"/>
          <w:lang w:val="it-IT"/>
        </w:rPr>
        <w:t xml:space="preserve">admitiéndose que no mantengan </w:t>
      </w:r>
      <w:r w:rsidR="007F32C1">
        <w:rPr>
          <w:color w:val="000000" w:themeColor="text1"/>
          <w:lang w:val="it-IT"/>
        </w:rPr>
        <w:t>posiciones ambiguas o equidistantes.</w:t>
      </w:r>
      <w:r w:rsidR="006C49E3">
        <w:rPr>
          <w:color w:val="000000" w:themeColor="text1"/>
          <w:lang w:val="it-IT"/>
        </w:rPr>
        <w:t xml:space="preserve"> </w:t>
      </w:r>
    </w:p>
    <w:p w:rsidR="00C011B1" w:rsidRDefault="00C011B1" w:rsidP="00B63F70">
      <w:pPr>
        <w:jc w:val="both"/>
        <w:rPr>
          <w:sz w:val="24"/>
          <w:szCs w:val="24"/>
        </w:rPr>
      </w:pPr>
    </w:p>
    <w:p w:rsidR="00B63F70" w:rsidRDefault="006742C9" w:rsidP="00B63F70">
      <w:pPr>
        <w:jc w:val="both"/>
        <w:rPr>
          <w:sz w:val="24"/>
          <w:szCs w:val="24"/>
        </w:rPr>
      </w:pPr>
      <w:r>
        <w:rPr>
          <w:sz w:val="24"/>
          <w:szCs w:val="24"/>
        </w:rPr>
        <w:t>Acceso a la STEDH:</w:t>
      </w:r>
    </w:p>
    <w:p w:rsidR="006742C9" w:rsidRDefault="004C1C5A" w:rsidP="00B63F70">
      <w:pPr>
        <w:jc w:val="both"/>
      </w:pPr>
      <w:hyperlink r:id="rId4" w:anchor="{%22itemid%22:[%22001-196148%22]}" w:history="1">
        <w:r w:rsidR="006742C9">
          <w:rPr>
            <w:rStyle w:val="Hipervnculo"/>
          </w:rPr>
          <w:t>https://hudoc.echr.coe.int/eng#{"itemid":["001-196148"]}</w:t>
        </w:r>
      </w:hyperlink>
    </w:p>
    <w:p w:rsidR="006742C9" w:rsidRPr="00B63F70" w:rsidRDefault="006742C9" w:rsidP="00B63F70">
      <w:pPr>
        <w:jc w:val="both"/>
        <w:rPr>
          <w:sz w:val="24"/>
          <w:szCs w:val="24"/>
        </w:rPr>
      </w:pPr>
    </w:p>
    <w:sectPr w:rsidR="006742C9" w:rsidRPr="00B63F70" w:rsidSect="00317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70"/>
    <w:rsid w:val="000A5778"/>
    <w:rsid w:val="00221555"/>
    <w:rsid w:val="003174C5"/>
    <w:rsid w:val="003B2F03"/>
    <w:rsid w:val="003E32C1"/>
    <w:rsid w:val="004C1C5A"/>
    <w:rsid w:val="00604278"/>
    <w:rsid w:val="00625EC4"/>
    <w:rsid w:val="006742C9"/>
    <w:rsid w:val="006C49E3"/>
    <w:rsid w:val="00756C89"/>
    <w:rsid w:val="007F32C1"/>
    <w:rsid w:val="0084600C"/>
    <w:rsid w:val="008E11CC"/>
    <w:rsid w:val="009C54A0"/>
    <w:rsid w:val="00A95BA0"/>
    <w:rsid w:val="00B63F70"/>
    <w:rsid w:val="00BE1A8A"/>
    <w:rsid w:val="00C011B1"/>
    <w:rsid w:val="00D31690"/>
    <w:rsid w:val="00D33984"/>
    <w:rsid w:val="00F6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16475-1537-490A-9755-1F33294D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4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udoc.echr.coe.int/e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jorancli</cp:lastModifiedBy>
  <cp:revision>2</cp:revision>
  <dcterms:created xsi:type="dcterms:W3CDTF">2020-03-02T16:09:00Z</dcterms:created>
  <dcterms:modified xsi:type="dcterms:W3CDTF">2020-03-02T16:09:00Z</dcterms:modified>
</cp:coreProperties>
</file>