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56" w:rsidRDefault="004960F9" w:rsidP="004960F9">
      <w:pPr>
        <w:jc w:val="center"/>
        <w:rPr>
          <w:b/>
          <w:sz w:val="24"/>
          <w:szCs w:val="24"/>
        </w:rPr>
      </w:pPr>
      <w:bookmarkStart w:id="0" w:name="_GoBack"/>
      <w:bookmarkEnd w:id="0"/>
      <w:r w:rsidRPr="004960F9">
        <w:rPr>
          <w:b/>
          <w:sz w:val="24"/>
          <w:szCs w:val="24"/>
        </w:rPr>
        <w:t>EL TEDH SE PRONUNCIA SOBRE EL DERECHO A LA IDENTIDAD BIOLÓGICA</w:t>
      </w:r>
    </w:p>
    <w:p w:rsidR="004960F9" w:rsidRDefault="004960F9" w:rsidP="004960F9">
      <w:pPr>
        <w:jc w:val="both"/>
        <w:rPr>
          <w:sz w:val="24"/>
          <w:szCs w:val="24"/>
        </w:rPr>
      </w:pPr>
    </w:p>
    <w:p w:rsidR="004960F9" w:rsidRPr="00803EFE" w:rsidRDefault="004960F9" w:rsidP="004960F9">
      <w:pPr>
        <w:jc w:val="both"/>
        <w:rPr>
          <w:sz w:val="24"/>
          <w:szCs w:val="24"/>
        </w:rPr>
      </w:pPr>
      <w:r w:rsidRPr="00803EFE">
        <w:rPr>
          <w:sz w:val="24"/>
          <w:szCs w:val="24"/>
        </w:rPr>
        <w:t xml:space="preserve">El pasado día 15 de octubre de 2019, la Sección Segunda del TEDH tuvo oportunidad de pronunciarse sobre la interesante cuestión de la identidad biológica, en la sentencia por la que se resuelve el caso </w:t>
      </w:r>
      <w:r w:rsidR="00803EFE" w:rsidRPr="00803EFE">
        <w:rPr>
          <w:sz w:val="24"/>
          <w:szCs w:val="24"/>
        </w:rPr>
        <w:t xml:space="preserve">Çapin contra Turquía. </w:t>
      </w:r>
    </w:p>
    <w:p w:rsidR="004C4914" w:rsidRDefault="00803EFE" w:rsidP="00F41A4F">
      <w:pPr>
        <w:jc w:val="both"/>
        <w:rPr>
          <w:rFonts w:cs="Times New Roman"/>
          <w:color w:val="000000" w:themeColor="text1"/>
          <w:sz w:val="24"/>
          <w:szCs w:val="24"/>
        </w:rPr>
      </w:pPr>
      <w:r w:rsidRPr="00803EFE">
        <w:t xml:space="preserve">Nos encontramos ante </w:t>
      </w:r>
      <w:r>
        <w:t xml:space="preserve">un hombre que, con 45 años, decide interponer una demanda contra quien, poco tiempo antes se había enterado por confesión de familiares suyos, podría ser su padre biológico. Los tribunales desestimaron la demanda por extemporaneidad. Para comprender la complejidad del asunto, hay que tener en cuenta las circunstancias que determinaron que esta persona no accionara antes. Así pues, el demandante, a la edad de cuatro años fue ingresado en un orfanato, dado que su madre se casó por segunda vez con un hombre que no lo quería tener como hijo. </w:t>
      </w:r>
      <w:r w:rsidRPr="00803EFE">
        <w:rPr>
          <w:rFonts w:cs="Times New Roman"/>
          <w:color w:val="000000" w:themeColor="text1"/>
          <w:sz w:val="24"/>
          <w:szCs w:val="24"/>
        </w:rPr>
        <w:t xml:space="preserve">Creció como un huérfano creyendo, porque </w:t>
      </w:r>
      <w:r>
        <w:rPr>
          <w:rFonts w:cs="Times New Roman"/>
          <w:color w:val="000000" w:themeColor="text1"/>
          <w:sz w:val="24"/>
          <w:szCs w:val="24"/>
        </w:rPr>
        <w:t xml:space="preserve">así </w:t>
      </w:r>
      <w:r w:rsidRPr="00803EFE">
        <w:rPr>
          <w:rFonts w:cs="Times New Roman"/>
          <w:color w:val="000000" w:themeColor="text1"/>
          <w:sz w:val="24"/>
          <w:szCs w:val="24"/>
        </w:rPr>
        <w:t>se lo había dicho</w:t>
      </w:r>
      <w:r>
        <w:rPr>
          <w:rFonts w:cs="Times New Roman"/>
          <w:color w:val="000000" w:themeColor="text1"/>
          <w:sz w:val="24"/>
          <w:szCs w:val="24"/>
        </w:rPr>
        <w:t xml:space="preserve"> su madre</w:t>
      </w:r>
      <w:r w:rsidRPr="00803EFE">
        <w:rPr>
          <w:rFonts w:cs="Times New Roman"/>
          <w:color w:val="000000" w:themeColor="text1"/>
          <w:sz w:val="24"/>
          <w:szCs w:val="24"/>
        </w:rPr>
        <w:t>, que su padre biológico</w:t>
      </w:r>
      <w:r w:rsidR="006C1CBE">
        <w:rPr>
          <w:rFonts w:cs="Times New Roman"/>
          <w:color w:val="000000" w:themeColor="text1"/>
          <w:sz w:val="24"/>
          <w:szCs w:val="24"/>
        </w:rPr>
        <w:t xml:space="preserve"> </w:t>
      </w:r>
      <w:r w:rsidR="00920216">
        <w:rPr>
          <w:rFonts w:cs="Times New Roman"/>
          <w:color w:val="000000" w:themeColor="text1"/>
          <w:sz w:val="24"/>
          <w:szCs w:val="24"/>
        </w:rPr>
        <w:t>era el primer marido de esta, que</w:t>
      </w:r>
      <w:r w:rsidRPr="00803EFE">
        <w:rPr>
          <w:rFonts w:cs="Times New Roman"/>
          <w:color w:val="000000" w:themeColor="text1"/>
          <w:sz w:val="24"/>
          <w:szCs w:val="24"/>
        </w:rPr>
        <w:t xml:space="preserve"> había muerto en un accidente de tráfico. </w:t>
      </w:r>
      <w:r>
        <w:rPr>
          <w:rFonts w:cs="Times New Roman"/>
          <w:color w:val="000000" w:themeColor="text1"/>
          <w:sz w:val="24"/>
          <w:szCs w:val="24"/>
        </w:rPr>
        <w:t>A los dieciocho años</w:t>
      </w:r>
      <w:r w:rsidR="00F41A4F">
        <w:rPr>
          <w:rFonts w:cs="Times New Roman"/>
          <w:color w:val="000000" w:themeColor="text1"/>
          <w:sz w:val="24"/>
          <w:szCs w:val="24"/>
        </w:rPr>
        <w:t xml:space="preserve"> se marchó a vivir y trabajar a EEUU, y no fue hasta que tenía cuarenta y cinco, cuando volvió a Turquía</w:t>
      </w:r>
      <w:r w:rsidR="004C4914">
        <w:rPr>
          <w:rFonts w:cs="Times New Roman"/>
          <w:color w:val="000000" w:themeColor="text1"/>
          <w:sz w:val="24"/>
          <w:szCs w:val="24"/>
        </w:rPr>
        <w:t>, que</w:t>
      </w:r>
      <w:r w:rsidR="00F41A4F">
        <w:rPr>
          <w:rFonts w:cs="Times New Roman"/>
          <w:color w:val="000000" w:themeColor="text1"/>
          <w:sz w:val="24"/>
          <w:szCs w:val="24"/>
        </w:rPr>
        <w:t xml:space="preserve"> se enteró, por parte de familiares suyos, que él era el resultado de una relación extramarital que había tenido su madre con otro hombre. Esa es la razón por la que, hasta ese momento, no había accionado judicialmente.</w:t>
      </w:r>
      <w:r w:rsidR="004C4914">
        <w:rPr>
          <w:rFonts w:cs="Times New Roman"/>
          <w:color w:val="000000" w:themeColor="text1"/>
          <w:sz w:val="24"/>
          <w:szCs w:val="24"/>
        </w:rPr>
        <w:t xml:space="preserve"> A pesar de todo lo anterior, las diferentes instancias judiciales no atendieron a tales circunstancias, centrándose únicamente en los plazos procesales, y considerando, por tanto, que la demanda era extemporánea.</w:t>
      </w:r>
    </w:p>
    <w:p w:rsidR="00EF0692" w:rsidRDefault="004C4914" w:rsidP="00EF0692">
      <w:pPr>
        <w:jc w:val="both"/>
        <w:rPr>
          <w:rFonts w:cs="Times New Roman"/>
          <w:color w:val="000000" w:themeColor="text1"/>
          <w:sz w:val="24"/>
          <w:szCs w:val="24"/>
        </w:rPr>
      </w:pPr>
      <w:r>
        <w:rPr>
          <w:rFonts w:cs="Times New Roman"/>
          <w:color w:val="000000" w:themeColor="text1"/>
          <w:sz w:val="24"/>
          <w:szCs w:val="24"/>
        </w:rPr>
        <w:t xml:space="preserve">El TEDH, a la hora de analizar este asunto, </w:t>
      </w:r>
      <w:r w:rsidR="0088481E">
        <w:rPr>
          <w:rFonts w:cs="Times New Roman"/>
          <w:color w:val="000000" w:themeColor="text1"/>
          <w:sz w:val="24"/>
          <w:szCs w:val="24"/>
        </w:rPr>
        <w:t>entiende que es competente,</w:t>
      </w:r>
      <w:r>
        <w:rPr>
          <w:rFonts w:cs="Times New Roman"/>
          <w:color w:val="000000" w:themeColor="text1"/>
          <w:sz w:val="24"/>
          <w:szCs w:val="24"/>
        </w:rPr>
        <w:t xml:space="preserve"> dada cuenta que, el derecho a conocer los ascendientes biológicos entra dentro del concepto de “vida privada” que recoge el artículo 8 CEDH.</w:t>
      </w:r>
      <w:r w:rsidR="0088481E">
        <w:rPr>
          <w:rFonts w:cs="Times New Roman"/>
          <w:color w:val="000000" w:themeColor="text1"/>
          <w:sz w:val="24"/>
          <w:szCs w:val="24"/>
        </w:rPr>
        <w:t xml:space="preserve"> En cuanto a la litis, la Corte Europea parte de dos premisas: </w:t>
      </w:r>
      <w:r w:rsidR="00B261F8">
        <w:rPr>
          <w:rFonts w:cs="Times New Roman"/>
          <w:color w:val="000000" w:themeColor="text1"/>
          <w:sz w:val="24"/>
          <w:szCs w:val="24"/>
        </w:rPr>
        <w:t>En primer lugar, que l</w:t>
      </w:r>
      <w:r w:rsidR="0088481E">
        <w:rPr>
          <w:rFonts w:cs="Times New Roman"/>
          <w:color w:val="000000" w:themeColor="text1"/>
          <w:sz w:val="24"/>
          <w:szCs w:val="24"/>
        </w:rPr>
        <w:t>os Estados tienen derecho a establecer unos límites temporales al ejercic</w:t>
      </w:r>
      <w:r w:rsidR="00B261F8">
        <w:rPr>
          <w:rFonts w:cs="Times New Roman"/>
          <w:color w:val="000000" w:themeColor="text1"/>
          <w:sz w:val="24"/>
          <w:szCs w:val="24"/>
        </w:rPr>
        <w:t>io de las acciones de paternidad o filiación,</w:t>
      </w:r>
      <w:r w:rsidR="0088481E">
        <w:rPr>
          <w:rFonts w:cs="Times New Roman"/>
          <w:color w:val="000000" w:themeColor="text1"/>
          <w:sz w:val="24"/>
          <w:szCs w:val="24"/>
        </w:rPr>
        <w:t xml:space="preserve"> dada cuenta que </w:t>
      </w:r>
      <w:r w:rsidR="00EF0692">
        <w:rPr>
          <w:rFonts w:cs="Times New Roman"/>
          <w:color w:val="000000" w:themeColor="text1"/>
          <w:sz w:val="24"/>
          <w:szCs w:val="24"/>
        </w:rPr>
        <w:t xml:space="preserve">cabe </w:t>
      </w:r>
      <w:r w:rsidR="0088481E">
        <w:rPr>
          <w:rFonts w:cs="Times New Roman"/>
          <w:color w:val="000000" w:themeColor="text1"/>
          <w:sz w:val="24"/>
          <w:szCs w:val="24"/>
        </w:rPr>
        <w:t xml:space="preserve">garantizar </w:t>
      </w:r>
      <w:r w:rsidR="00EF0692">
        <w:rPr>
          <w:rFonts w:cs="Times New Roman"/>
          <w:color w:val="000000" w:themeColor="text1"/>
          <w:sz w:val="24"/>
          <w:szCs w:val="24"/>
        </w:rPr>
        <w:t xml:space="preserve">la seguridad jurídica con respecto a las relaciones familiares, evitándose, así mismo, que los padres se vean sometidos a reclamaciones totalmente extemporáneas. </w:t>
      </w:r>
      <w:r w:rsidR="00B261F8">
        <w:rPr>
          <w:rFonts w:cs="Times New Roman"/>
          <w:color w:val="000000" w:themeColor="text1"/>
          <w:sz w:val="24"/>
          <w:szCs w:val="24"/>
        </w:rPr>
        <w:t>En segundo lugar</w:t>
      </w:r>
      <w:r w:rsidR="00EF0692">
        <w:rPr>
          <w:rFonts w:cs="Times New Roman"/>
          <w:color w:val="000000" w:themeColor="text1"/>
          <w:sz w:val="24"/>
          <w:szCs w:val="24"/>
        </w:rPr>
        <w:t xml:space="preserve">, </w:t>
      </w:r>
      <w:r w:rsidR="00B261F8">
        <w:rPr>
          <w:rFonts w:cs="Times New Roman"/>
          <w:color w:val="000000" w:themeColor="text1"/>
          <w:sz w:val="24"/>
          <w:szCs w:val="24"/>
        </w:rPr>
        <w:t xml:space="preserve">y no obstante lo anterior, </w:t>
      </w:r>
      <w:r w:rsidR="00EF0692">
        <w:rPr>
          <w:rFonts w:cs="Times New Roman"/>
          <w:color w:val="000000" w:themeColor="text1"/>
          <w:sz w:val="24"/>
          <w:szCs w:val="24"/>
        </w:rPr>
        <w:t xml:space="preserve">el TEDH </w:t>
      </w:r>
      <w:r w:rsidR="00345963">
        <w:rPr>
          <w:rFonts w:cs="Times New Roman"/>
          <w:color w:val="000000" w:themeColor="text1"/>
          <w:sz w:val="24"/>
          <w:szCs w:val="24"/>
        </w:rPr>
        <w:t xml:space="preserve">también </w:t>
      </w:r>
      <w:r w:rsidR="00B261F8">
        <w:rPr>
          <w:rFonts w:cs="Times New Roman"/>
          <w:color w:val="000000" w:themeColor="text1"/>
          <w:sz w:val="24"/>
          <w:szCs w:val="24"/>
        </w:rPr>
        <w:t xml:space="preserve">señala </w:t>
      </w:r>
      <w:r w:rsidR="00EF0692">
        <w:rPr>
          <w:rFonts w:cs="Times New Roman"/>
          <w:color w:val="000000" w:themeColor="text1"/>
          <w:sz w:val="24"/>
          <w:szCs w:val="24"/>
        </w:rPr>
        <w:t xml:space="preserve">que el interés vital en conocer la verdad sobre la identidad biológica </w:t>
      </w:r>
      <w:r w:rsidR="0095097E">
        <w:rPr>
          <w:rFonts w:cs="Times New Roman"/>
          <w:color w:val="000000" w:themeColor="text1"/>
          <w:sz w:val="24"/>
          <w:szCs w:val="24"/>
        </w:rPr>
        <w:t>no desaparece con la edad, sino justo lo contrario. Y en este caso concreto considera que los tribunales turcos fallaron precisamente por no ponderar ambos intereses en juego, teniendo en cuenta solo el del Estado en garantizar la seguridad jurídica, ignorando el</w:t>
      </w:r>
      <w:r w:rsidR="006C1CBE">
        <w:rPr>
          <w:rFonts w:cs="Times New Roman"/>
          <w:color w:val="000000" w:themeColor="text1"/>
          <w:sz w:val="24"/>
          <w:szCs w:val="24"/>
        </w:rPr>
        <w:t xml:space="preserve"> </w:t>
      </w:r>
      <w:r w:rsidR="00345963">
        <w:rPr>
          <w:rFonts w:cs="Times New Roman"/>
          <w:color w:val="000000" w:themeColor="text1"/>
          <w:sz w:val="24"/>
          <w:szCs w:val="24"/>
        </w:rPr>
        <w:t>interés</w:t>
      </w:r>
      <w:r w:rsidR="0095097E">
        <w:rPr>
          <w:rFonts w:cs="Times New Roman"/>
          <w:color w:val="000000" w:themeColor="text1"/>
          <w:sz w:val="24"/>
          <w:szCs w:val="24"/>
        </w:rPr>
        <w:t xml:space="preserve"> del demandante en conocer su ascendencia </w:t>
      </w:r>
      <w:r w:rsidR="00920216">
        <w:rPr>
          <w:rFonts w:cs="Times New Roman"/>
          <w:color w:val="000000" w:themeColor="text1"/>
          <w:sz w:val="24"/>
          <w:szCs w:val="24"/>
        </w:rPr>
        <w:t xml:space="preserve">biológica </w:t>
      </w:r>
      <w:r w:rsidR="0095097E">
        <w:rPr>
          <w:rFonts w:cs="Times New Roman"/>
          <w:color w:val="000000" w:themeColor="text1"/>
          <w:sz w:val="24"/>
          <w:szCs w:val="24"/>
        </w:rPr>
        <w:t xml:space="preserve">paterna, desatendiendo además, las </w:t>
      </w:r>
      <w:r w:rsidR="000751C3">
        <w:rPr>
          <w:rFonts w:cs="Times New Roman"/>
          <w:color w:val="000000" w:themeColor="text1"/>
          <w:sz w:val="24"/>
          <w:szCs w:val="24"/>
        </w:rPr>
        <w:t>peculiares</w:t>
      </w:r>
      <w:r w:rsidR="0095097E">
        <w:rPr>
          <w:rFonts w:cs="Times New Roman"/>
          <w:color w:val="000000" w:themeColor="text1"/>
          <w:sz w:val="24"/>
          <w:szCs w:val="24"/>
        </w:rPr>
        <w:t xml:space="preserve"> circunstancias personales que le llevaron a presentar la demanda a la edad de 45 años. </w:t>
      </w:r>
    </w:p>
    <w:p w:rsidR="004C4914" w:rsidRDefault="002F7E82" w:rsidP="00EF0692">
      <w:pPr>
        <w:jc w:val="both"/>
        <w:rPr>
          <w:rFonts w:cs="Times New Roman"/>
          <w:color w:val="000000" w:themeColor="text1"/>
          <w:sz w:val="24"/>
          <w:szCs w:val="24"/>
        </w:rPr>
      </w:pPr>
      <w:r>
        <w:rPr>
          <w:rFonts w:cs="Times New Roman"/>
          <w:color w:val="000000" w:themeColor="text1"/>
          <w:sz w:val="24"/>
          <w:szCs w:val="24"/>
        </w:rPr>
        <w:t>Acceso a la STEDH:</w:t>
      </w:r>
    </w:p>
    <w:p w:rsidR="00803EFE" w:rsidRPr="00803EFE" w:rsidRDefault="00ED316A" w:rsidP="004960F9">
      <w:pPr>
        <w:jc w:val="both"/>
      </w:pPr>
      <w:hyperlink r:id="rId4" w:anchor="{%22itemid%22:[%22001-196679%22]}" w:history="1">
        <w:r w:rsidR="002F7E82">
          <w:rPr>
            <w:rStyle w:val="Hipervnculo"/>
          </w:rPr>
          <w:t>https://hudoc.echr.coe.int/eng#{%22itemid%22:[%22001-196679%22]}</w:t>
        </w:r>
      </w:hyperlink>
    </w:p>
    <w:sectPr w:rsidR="00803EFE" w:rsidRPr="00803EFE" w:rsidSect="001966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F9"/>
    <w:rsid w:val="0005130E"/>
    <w:rsid w:val="000751C3"/>
    <w:rsid w:val="001966E9"/>
    <w:rsid w:val="002D4656"/>
    <w:rsid w:val="002F7E82"/>
    <w:rsid w:val="00345963"/>
    <w:rsid w:val="004960F9"/>
    <w:rsid w:val="004C4914"/>
    <w:rsid w:val="006C1CBE"/>
    <w:rsid w:val="00803EFE"/>
    <w:rsid w:val="0088481E"/>
    <w:rsid w:val="00920216"/>
    <w:rsid w:val="0095097E"/>
    <w:rsid w:val="00B261F8"/>
    <w:rsid w:val="00B3223E"/>
    <w:rsid w:val="00ED316A"/>
    <w:rsid w:val="00EF0692"/>
    <w:rsid w:val="00F41A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C21D5-8E64-40E5-A223-D667CEC1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HRPara">
    <w:name w:val="ECHR_Para"/>
    <w:aliases w:val="Ju_Para"/>
    <w:basedOn w:val="Normal"/>
    <w:link w:val="ECHRParaChar"/>
    <w:uiPriority w:val="12"/>
    <w:qFormat/>
    <w:rsid w:val="004C4914"/>
    <w:pPr>
      <w:spacing w:after="0" w:line="240" w:lineRule="auto"/>
      <w:ind w:firstLine="284"/>
      <w:jc w:val="both"/>
    </w:pPr>
    <w:rPr>
      <w:rFonts w:eastAsiaTheme="minorEastAsia"/>
      <w:sz w:val="24"/>
      <w:lang w:val="en-GB"/>
    </w:rPr>
  </w:style>
  <w:style w:type="character" w:customStyle="1" w:styleId="ECHRParaChar">
    <w:name w:val="ECHR_Para Char"/>
    <w:aliases w:val="Ju_Para Char"/>
    <w:link w:val="ECHRPara"/>
    <w:uiPriority w:val="12"/>
    <w:rsid w:val="004C4914"/>
    <w:rPr>
      <w:rFonts w:eastAsiaTheme="minorEastAsia"/>
      <w:sz w:val="24"/>
      <w:lang w:val="en-GB"/>
    </w:rPr>
  </w:style>
  <w:style w:type="character" w:styleId="Hipervnculo">
    <w:name w:val="Hyperlink"/>
    <w:basedOn w:val="Fuentedeprrafopredeter"/>
    <w:uiPriority w:val="99"/>
    <w:semiHidden/>
    <w:unhideWhenUsed/>
    <w:rsid w:val="002F7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udoc.echr.coe.int/e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jorancli</cp:lastModifiedBy>
  <cp:revision>2</cp:revision>
  <dcterms:created xsi:type="dcterms:W3CDTF">2020-03-02T16:09:00Z</dcterms:created>
  <dcterms:modified xsi:type="dcterms:W3CDTF">2020-03-02T16:09:00Z</dcterms:modified>
</cp:coreProperties>
</file>